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192.00000000000003" w:lineRule="auto"/>
        <w:jc w:val="both"/>
        <w:rPr>
          <w:rFonts w:ascii="Open Sans" w:cs="Open Sans" w:eastAsia="Open Sans" w:hAnsi="Open Sans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50.0" w:type="dxa"/>
        <w:jc w:val="left"/>
        <w:tblInd w:w="-15.0" w:type="dxa"/>
        <w:tblLayout w:type="fixed"/>
        <w:tblLook w:val="0600"/>
      </w:tblPr>
      <w:tblGrid>
        <w:gridCol w:w="1740"/>
        <w:gridCol w:w="1725"/>
        <w:gridCol w:w="3345"/>
        <w:gridCol w:w="105"/>
        <w:gridCol w:w="1725"/>
        <w:gridCol w:w="1710"/>
        <w:tblGridChange w:id="0">
          <w:tblGrid>
            <w:gridCol w:w="1740"/>
            <w:gridCol w:w="1725"/>
            <w:gridCol w:w="3345"/>
            <w:gridCol w:w="105"/>
            <w:gridCol w:w="1725"/>
            <w:gridCol w:w="1710"/>
          </w:tblGrid>
        </w:tblGridChange>
      </w:tblGrid>
      <w:tr>
        <w:trPr>
          <w:cantSplit w:val="0"/>
          <w:trHeight w:val="1245" w:hRule="atLeast"/>
          <w:tblHeader w:val="0"/>
        </w:trPr>
        <w:tc>
          <w:tcPr>
            <w:gridSpan w:val="3"/>
            <w:tcBorders>
              <w:bottom w:color="1e2733" w:space="0" w:sz="1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after="240" w:before="240" w:line="240" w:lineRule="auto"/>
              <w:rPr>
                <w:rFonts w:ascii="Open Sans ExtraBold" w:cs="Open Sans ExtraBold" w:eastAsia="Open Sans ExtraBold" w:hAnsi="Open Sans ExtraBold"/>
                <w:color w:val="1e2733"/>
                <w:sz w:val="50"/>
                <w:szCs w:val="50"/>
              </w:rPr>
            </w:pPr>
            <w:r w:rsidDel="00000000" w:rsidR="00000000" w:rsidRPr="00000000">
              <w:rPr>
                <w:rFonts w:ascii="Open Sans ExtraBold" w:cs="Open Sans ExtraBold" w:eastAsia="Open Sans ExtraBold" w:hAnsi="Open Sans ExtraBold"/>
                <w:b w:val="1"/>
                <w:color w:val="1e2733"/>
                <w:sz w:val="50"/>
                <w:szCs w:val="50"/>
                <w:rtl w:val="0"/>
              </w:rPr>
              <w:t xml:space="preserve">Surinderjit Singh Cheema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after="240" w:before="240" w:line="240" w:lineRule="auto"/>
              <w:rPr>
                <w:rFonts w:ascii="Open Sans" w:cs="Open Sans" w:eastAsia="Open Sans" w:hAnsi="Open Sans"/>
                <w:color w:val="22a7a7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22a7a7"/>
                <w:sz w:val="30"/>
                <w:szCs w:val="30"/>
                <w:highlight w:val="white"/>
                <w:rtl w:val="0"/>
              </w:rPr>
              <w:t xml:space="preserve">Digital Growth Manager</w:t>
            </w:r>
          </w:p>
        </w:tc>
        <w:tc>
          <w:tcPr>
            <w:gridSpan w:val="3"/>
            <w:tcBorders>
              <w:bottom w:color="1e2733" w:space="0" w:sz="1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after="0" w:line="216" w:lineRule="auto"/>
              <w:jc w:val="right"/>
              <w:rPr>
                <w:rFonts w:ascii="Open Sans SemiBold" w:cs="Open Sans SemiBold" w:eastAsia="Open Sans SemiBold" w:hAnsi="Open Sans SemiBold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 SemiBold" w:cs="Open Sans SemiBold" w:eastAsia="Open Sans SemiBold" w:hAnsi="Open Sans SemiBold"/>
                <w:color w:val="1e2733"/>
                <w:sz w:val="20"/>
                <w:szCs w:val="20"/>
                <w:rtl w:val="0"/>
              </w:rPr>
              <w:t xml:space="preserve">Mobile: 07456 931 055</w:t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line="216" w:lineRule="auto"/>
              <w:jc w:val="right"/>
              <w:rPr>
                <w:rFonts w:ascii="Open Sans SemiBold" w:cs="Open Sans SemiBold" w:eastAsia="Open Sans SemiBold" w:hAnsi="Open Sans SemiBold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 SemiBold" w:cs="Open Sans SemiBold" w:eastAsia="Open Sans SemiBold" w:hAnsi="Open Sans SemiBold"/>
                <w:color w:val="1e2733"/>
                <w:sz w:val="20"/>
                <w:szCs w:val="20"/>
                <w:rtl w:val="0"/>
              </w:rPr>
              <w:t xml:space="preserve">Location: Wolverhampton, United Kingdom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200" w:line="216" w:lineRule="auto"/>
              <w:jc w:val="right"/>
              <w:rPr>
                <w:rFonts w:ascii="Open Sans SemiBold" w:cs="Open Sans SemiBold" w:eastAsia="Open Sans SemiBold" w:hAnsi="Open Sans SemiBold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 SemiBold" w:cs="Open Sans SemiBold" w:eastAsia="Open Sans SemiBold" w:hAnsi="Open Sans SemiBold"/>
                <w:color w:val="1e2733"/>
                <w:sz w:val="20"/>
                <w:szCs w:val="20"/>
                <w:rtl w:val="0"/>
              </w:rPr>
              <w:t xml:space="preserve">Email:</w:t>
            </w:r>
            <w:hyperlink r:id="rId6">
              <w:r w:rsidDel="00000000" w:rsidR="00000000" w:rsidRPr="00000000">
                <w:rPr>
                  <w:rFonts w:ascii="Open Sans SemiBold" w:cs="Open Sans SemiBold" w:eastAsia="Open Sans SemiBold" w:hAnsi="Open Sans SemiBold"/>
                  <w:color w:val="1155cc"/>
                  <w:sz w:val="20"/>
                  <w:szCs w:val="20"/>
                  <w:u w:val="single"/>
                  <w:rtl w:val="0"/>
                </w:rPr>
                <w:t xml:space="preserve">Surinderjits92@gmail.com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9.3125" w:hRule="atLeast"/>
          <w:tblHeader w:val="0"/>
        </w:trPr>
        <w:tc>
          <w:tcPr>
            <w:gridSpan w:val="6"/>
            <w:tcBorders>
              <w:top w:color="1e2733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Open Sans" w:cs="Open Sans" w:eastAsia="Open Sans" w:hAnsi="Open Sans"/>
                <w:color w:val="1e2733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38.2519531250002" w:hRule="atLeast"/>
          <w:tblHeader w:val="0"/>
        </w:trPr>
        <w:tc>
          <w:tcPr>
            <w:gridSpan w:val="6"/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240" w:before="240" w:line="216" w:lineRule="auto"/>
              <w:jc w:val="both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Performance-driven growth marketer with 6+ years of experience managing large-scale paid campaigns, affiliate partnerships, and CRO initiatives across fast-moving consumer tech and app-based brands. Skilled at building and optimising multi-channel acquisition strategies, managing agencies, and delivering measurable ROI across Meta, Google, TikTok, YouTube, and programmatic. Comfortable leading test-and-learn experimentation, briefing performance creatives, and collaborating with cross-functional teams across product, content, and design.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6"/>
            <w:tcBorders>
              <w:bottom w:color="8a8a8a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  <w:rtl w:val="0"/>
              </w:rPr>
              <w:t xml:space="preserve">PROFESSIONAL EXPERIENCE</w:t>
            </w:r>
          </w:p>
        </w:tc>
      </w:tr>
      <w:tr>
        <w:trPr>
          <w:cantSplit w:val="0"/>
          <w:trHeight w:val="5429.681640624999" w:hRule="atLeast"/>
          <w:tblHeader w:val="0"/>
        </w:trPr>
        <w:tc>
          <w:tcPr>
            <w:gridSpan w:val="6"/>
            <w:tcBorders>
              <w:top w:color="8a8a8a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after="40" w:line="240" w:lineRule="auto"/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Style w:val="Heading4"/>
              <w:keepNext w:val="0"/>
              <w:keepLines w:val="0"/>
              <w:widowControl w:val="0"/>
              <w:spacing w:after="240" w:before="240" w:line="240" w:lineRule="auto"/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</w:rPr>
            </w:pPr>
            <w:bookmarkStart w:colFirst="0" w:colLast="0" w:name="_shxd6hbdlod7" w:id="0"/>
            <w:bookmarkEnd w:id="0"/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rtl w:val="0"/>
              </w:rPr>
              <w:t xml:space="preserve">Senior Performance Marketing Manager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  <w:rtl w:val="0"/>
              </w:rPr>
              <w:t xml:space="preserve">Circle Mount Media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  <w:rtl w:val="0"/>
              </w:rPr>
              <w:t xml:space="preserve"> (2021 - Present)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3"/>
              </w:numPr>
              <w:spacing w:after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Managed paid media budgets across Meta, Google, and programmatic,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achieving a 28% lift in subscription CVR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and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reducing CPA by 22% 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over 6 months.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3"/>
              </w:numPr>
              <w:spacing w:after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Owned creative strategy and briefing process for ad formats across platforms; launched performance-based iterations that drove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3x higher engagement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3"/>
              </w:numPr>
              <w:spacing w:after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Scaled affiliate channel with strategic partner outreach and incentive structuring, increasing contribution to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total revenue from 8% to 18%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3"/>
              </w:numPr>
              <w:spacing w:after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Led full-funnel acquisition strategy for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multiple DTC and app-based clients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, across paid social, Google Ads, YouTube, and influencer-driven campaigns.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3"/>
              </w:numPr>
              <w:spacing w:before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Developed integrated SEO strategies for startups in Luxury, resulting in an average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organic growth of 45% within 6 months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after="240" w:before="240" w:line="216" w:lineRule="auto"/>
              <w:ind w:left="720" w:firstLine="0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after="240" w:before="240" w:line="192.00000000000003" w:lineRule="auto"/>
              <w:rPr/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sz w:val="24"/>
                <w:szCs w:val="24"/>
                <w:rtl w:val="0"/>
              </w:rPr>
              <w:t xml:space="preserve">Growth Marketing Manager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  <w:rtl w:val="0"/>
              </w:rPr>
              <w:t xml:space="preserve">LogikFx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  <w:rtl w:val="0"/>
              </w:rPr>
              <w:t xml:space="preserve"> (2017 - 2021)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.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1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Executed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 backlink audits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and provided recommendations for off-page optimisation.</w:t>
              <w:br w:type="textWrapping"/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spacing w:after="240" w:line="216" w:lineRule="auto"/>
              <w:ind w:left="720" w:hanging="360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Collaborated with product and CRO teams to design A/B tests on landing pages,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improving paid traffic conversion by 31%.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1"/>
              </w:numPr>
              <w:spacing w:after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Delivered weekly performance insights and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optimisations based on ROAS and LTV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, aligning creative and content with highest-converting audiences.</w:t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1"/>
              </w:numPr>
              <w:spacing w:after="240" w:line="216" w:lineRule="auto"/>
              <w:ind w:left="720" w:hanging="360"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Ran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SEO audits and keyword opportunity analysis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to support organic content expansion in coordination with editorial teams.</w:t>
            </w:r>
          </w:p>
          <w:p w:rsidR="00000000" w:rsidDel="00000000" w:rsidP="00000000" w:rsidRDefault="00000000" w:rsidRPr="00000000" w14:paraId="0000002C">
            <w:pPr>
              <w:widowControl w:val="0"/>
              <w:spacing w:after="240" w:before="0" w:line="216" w:lineRule="auto"/>
              <w:ind w:left="720" w:firstLine="0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after="40" w:line="192.00000000000003" w:lineRule="auto"/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after="240" w:before="240" w:line="192.00000000000003" w:lineRule="auto"/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  <w:rtl w:val="0"/>
              </w:rPr>
              <w:t xml:space="preserve">SEO Manager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  <w:rtl w:val="0"/>
              </w:rPr>
              <w:t xml:space="preserve">Debenhams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4"/>
                <w:szCs w:val="24"/>
                <w:rtl w:val="0"/>
              </w:rPr>
              <w:t xml:space="preserve"> (2016 - 2017)</w:t>
            </w:r>
          </w:p>
          <w:p w:rsidR="00000000" w:rsidDel="00000000" w:rsidP="00000000" w:rsidRDefault="00000000" w:rsidRPr="00000000" w14:paraId="0000002F">
            <w:pPr>
              <w:widowControl w:val="0"/>
              <w:numPr>
                <w:ilvl w:val="0"/>
                <w:numId w:val="1"/>
              </w:numPr>
              <w:spacing w:after="0" w:before="24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Spearheaded SEO performance improvements across large-scale e-commerce sites,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achieving a 60% increase in revenue from organic search.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1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Built scalable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keyword targeting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frameworks aligned with product and commercial goals.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1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Led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technical optimisation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for Core Web Vitals, page speed, and indexation.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1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Oversaw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 CMS migrations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and coordinated SEO QA testing pre- and post-launch.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1"/>
              </w:numPr>
              <w:spacing w:after="24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Worked with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PPC teams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 to balance paid and organic coverage,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1e2733"/>
                <w:sz w:val="20"/>
                <w:szCs w:val="20"/>
                <w:rtl w:val="0"/>
              </w:rPr>
              <w:t xml:space="preserve"> improving ROI by 22%</w:t>
            </w: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6"/>
            <w:tcBorders>
              <w:bottom w:color="8a8a8a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  <w:rtl w:val="0"/>
              </w:rPr>
              <w:t xml:space="preserve">CERTIFICATION </w:t>
            </w:r>
          </w:p>
        </w:tc>
      </w:tr>
      <w:tr>
        <w:trPr>
          <w:cantSplit w:val="0"/>
          <w:trHeight w:val="1528.158203125" w:hRule="atLeast"/>
          <w:tblHeader w:val="0"/>
        </w:trPr>
        <w:tc>
          <w:tcPr>
            <w:gridSpan w:val="6"/>
            <w:tcBorders>
              <w:top w:color="8a8a8a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4"/>
              </w:numPr>
              <w:spacing w:after="0" w:before="24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rtl w:val="0"/>
              </w:rPr>
              <w:t xml:space="preserve">UHubSpot SEO Certification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4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rtl w:val="0"/>
              </w:rPr>
              <w:t xml:space="preserve">Google UX Design Professional Certificate (Coursera)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4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rtl w:val="0"/>
              </w:rPr>
              <w:t xml:space="preserve">HubSpot Software Certification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4"/>
              </w:numPr>
              <w:spacing w:after="0" w:before="0" w:line="216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rtl w:val="0"/>
              </w:rPr>
              <w:t xml:space="preserve">GA4 Certification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4"/>
              </w:numPr>
              <w:spacing w:after="240" w:before="0" w:line="216" w:lineRule="auto"/>
              <w:ind w:left="720" w:hanging="360"/>
              <w:rPr>
                <w:rFonts w:ascii="Open Sans" w:cs="Open Sans" w:eastAsia="Open Sans" w:hAnsi="Open Sans"/>
                <w:color w:val="1e2733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rtl w:val="0"/>
              </w:rPr>
              <w:t xml:space="preserve">Digital Marketing  FutureLearn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gridSpan w:val="6"/>
            <w:tcBorders>
              <w:bottom w:color="8a8a8a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22a7a7"/>
                <w:sz w:val="24"/>
                <w:szCs w:val="24"/>
                <w:rtl w:val="0"/>
              </w:rPr>
              <w:t xml:space="preserve">SKILLS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2"/>
            <w:tcBorders>
              <w:top w:color="8a8a8a" w:space="0" w:sz="8" w:val="single"/>
            </w:tcBorders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before="240" w:line="240" w:lineRule="auto"/>
              <w:ind w:left="720" w:firstLine="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SEO Strategy &amp; Execution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numPr>
                <w:ilvl w:val="0"/>
                <w:numId w:val="2"/>
              </w:numPr>
              <w:spacing w:after="240" w:before="0" w:line="216" w:lineRule="auto"/>
              <w:ind w:left="720" w:hanging="360"/>
              <w:rPr>
                <w:rFonts w:ascii="Open Sans" w:cs="Open Sans" w:eastAsia="Open Sans" w:hAnsi="Open Sans"/>
                <w:color w:val="1e2733"/>
                <w:sz w:val="18"/>
                <w:szCs w:val="18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Paid Media Strategy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numPr>
                <w:ilvl w:val="0"/>
                <w:numId w:val="2"/>
              </w:numPr>
              <w:spacing w:after="240" w:before="240" w:line="240" w:lineRule="auto"/>
              <w:ind w:left="720" w:hanging="360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App Store Optimisation (ASO)</w:t>
            </w:r>
          </w:p>
        </w:tc>
        <w:tc>
          <w:tcPr>
            <w:gridSpan w:val="2"/>
            <w:tcBorders>
              <w:top w:color="8a8a8a" w:space="0" w:sz="8" w:val="single"/>
            </w:tcBorders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numPr>
                <w:ilvl w:val="0"/>
                <w:numId w:val="2"/>
              </w:numPr>
              <w:spacing w:before="240" w:line="216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Affiliate Marketing &amp; Program Management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widowControl w:val="0"/>
              <w:numPr>
                <w:ilvl w:val="0"/>
                <w:numId w:val="2"/>
              </w:numPr>
              <w:spacing w:after="240" w:before="0" w:line="216" w:lineRule="auto"/>
              <w:ind w:left="720" w:hanging="360"/>
              <w:rPr>
                <w:rFonts w:ascii="Open Sans" w:cs="Open Sans" w:eastAsia="Open Sans" w:hAnsi="Open Sans"/>
                <w:color w:val="1e2733"/>
                <w:sz w:val="18"/>
                <w:szCs w:val="18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Creative Briefing &amp; Ad Testing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numPr>
                <w:ilvl w:val="0"/>
                <w:numId w:val="2"/>
              </w:numPr>
              <w:spacing w:after="240" w:before="240" w:line="240" w:lineRule="auto"/>
              <w:ind w:left="720" w:hanging="360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SEO Collaboration &amp; Opportunity Analysis</w:t>
            </w:r>
          </w:p>
        </w:tc>
        <w:tc>
          <w:tcPr>
            <w:gridSpan w:val="2"/>
            <w:tcBorders>
              <w:top w:color="8a8a8a" w:space="0" w:sz="8" w:val="single"/>
            </w:tcBorders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numPr>
                <w:ilvl w:val="0"/>
                <w:numId w:val="2"/>
              </w:numPr>
              <w:spacing w:after="240" w:before="240" w:line="216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Conversion Rate Optimisation (CRO)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numPr>
                <w:ilvl w:val="0"/>
                <w:numId w:val="2"/>
              </w:numPr>
              <w:spacing w:after="240" w:before="240" w:line="240" w:lineRule="auto"/>
              <w:ind w:left="720" w:hanging="360"/>
              <w:rPr>
                <w:rFonts w:ascii="Open Sans" w:cs="Open Sans" w:eastAsia="Open Sans" w:hAnsi="Open Sans"/>
                <w:color w:val="1e2733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Analytics &amp; Reporting</w:t>
            </w:r>
          </w:p>
          <w:p w:rsidR="00000000" w:rsidDel="00000000" w:rsidP="00000000" w:rsidRDefault="00000000" w:rsidRPr="00000000" w14:paraId="0000005E">
            <w:pPr>
              <w:widowControl w:val="0"/>
              <w:numPr>
                <w:ilvl w:val="0"/>
                <w:numId w:val="2"/>
              </w:numPr>
              <w:spacing w:after="240" w:before="240" w:line="240" w:lineRule="auto"/>
              <w:ind w:left="720" w:hanging="360"/>
              <w:rPr/>
            </w:pPr>
            <w:r w:rsidDel="00000000" w:rsidR="00000000" w:rsidRPr="00000000">
              <w:rPr>
                <w:rFonts w:ascii="Open Sans" w:cs="Open Sans" w:eastAsia="Open Sans" w:hAnsi="Open Sans"/>
                <w:color w:val="1e2733"/>
                <w:sz w:val="20"/>
                <w:szCs w:val="20"/>
                <w:rtl w:val="0"/>
              </w:rPr>
              <w:t xml:space="preserve">Performance Metrics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widowControl w:val="0"/>
        <w:spacing w:after="200" w:line="240" w:lineRule="auto"/>
        <w:ind w:left="0" w:firstLine="0"/>
        <w:rPr>
          <w:rFonts w:ascii="Poppins Light" w:cs="Poppins Light" w:eastAsia="Poppins Light" w:hAnsi="Poppins Light"/>
          <w:color w:val="717373"/>
          <w:sz w:val="20"/>
          <w:szCs w:val="20"/>
        </w:rPr>
      </w:pPr>
      <w:r w:rsidDel="00000000" w:rsidR="00000000" w:rsidRPr="00000000">
        <w:rPr>
          <w:rFonts w:ascii="Poppins Light" w:cs="Poppins Light" w:eastAsia="Poppins Light" w:hAnsi="Poppins Light"/>
          <w:color w:val="717373"/>
          <w:sz w:val="20"/>
          <w:szCs w:val="20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spacing w:line="240" w:lineRule="auto"/>
        <w:rPr>
          <w:rFonts w:ascii="Poppins Light" w:cs="Poppins Light" w:eastAsia="Poppins Light" w:hAnsi="Poppins Light"/>
          <w:b w:val="1"/>
          <w:sz w:val="26"/>
          <w:szCs w:val="26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22a7a7"/>
          <w:sz w:val="24"/>
          <w:szCs w:val="24"/>
          <w:rtl w:val="0"/>
        </w:rPr>
        <w:t xml:space="preserve">KEY ACHIEVEMENTS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5"/>
        </w:numPr>
        <w:spacing w:after="240" w:line="240" w:lineRule="auto"/>
        <w:ind w:left="720" w:hanging="360"/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Improved paid landing page performance and Core Web Vitals scores, leading to a </w:t>
      </w: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30% reduction in bounce rate</w:t>
      </w: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 and a </w:t>
      </w: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23% lift in retention</w:t>
      </w: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5"/>
        </w:numPr>
        <w:spacing w:after="240" w:line="240" w:lineRule="auto"/>
        <w:ind w:left="720" w:hanging="360"/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Drove a </w:t>
      </w: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55% YoY increase in organic traffic </w:t>
      </w: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through a strategic content refresh and internal linking aligned with paid keyword priorities.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5"/>
        </w:numPr>
        <w:spacing w:after="240" w:line="240" w:lineRule="auto"/>
        <w:ind w:left="720" w:hanging="360"/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Managed and delivered </w:t>
      </w: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multiple growth campaigns</w:t>
      </w: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 simultaneously across Meta, Google, and TikTok, consistently hitting CPA and LTV targets.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5"/>
        </w:numPr>
        <w:spacing w:after="240" w:line="240" w:lineRule="auto"/>
        <w:ind w:left="720" w:hanging="360"/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Contributed to a site-wide UX and content architecture overhaul that </w:t>
      </w: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boosted conversion rates and supported long-term SEO scalability</w:t>
      </w:r>
    </w:p>
    <w:p w:rsidR="00000000" w:rsidDel="00000000" w:rsidP="00000000" w:rsidRDefault="00000000" w:rsidRPr="00000000" w14:paraId="00000066">
      <w:pPr>
        <w:widowControl w:val="0"/>
        <w:spacing w:after="200" w:line="240" w:lineRule="auto"/>
        <w:rPr>
          <w:rFonts w:ascii="Open Sans" w:cs="Open Sans" w:eastAsia="Open Sans" w:hAnsi="Open Sans"/>
          <w:b w:val="1"/>
          <w:color w:val="22a7a7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widowControl w:val="0"/>
        <w:spacing w:line="240" w:lineRule="auto"/>
        <w:rPr>
          <w:rFonts w:ascii="Open Sans" w:cs="Open Sans" w:eastAsia="Open Sans" w:hAnsi="Open Sans"/>
          <w:b w:val="1"/>
          <w:color w:val="22a7a7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spacing w:line="240" w:lineRule="auto"/>
        <w:rPr>
          <w:rFonts w:ascii="Poppins Light" w:cs="Poppins Light" w:eastAsia="Poppins Light" w:hAnsi="Poppins Light"/>
          <w:b w:val="1"/>
          <w:sz w:val="26"/>
          <w:szCs w:val="26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22a7a7"/>
          <w:sz w:val="24"/>
          <w:szCs w:val="24"/>
          <w:rtl w:val="0"/>
        </w:rPr>
        <w:t xml:space="preserve">LANGUAGES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widowControl w:val="0"/>
        <w:numPr>
          <w:ilvl w:val="0"/>
          <w:numId w:val="5"/>
        </w:numPr>
        <w:spacing w:after="0" w:before="240" w:line="240" w:lineRule="auto"/>
        <w:ind w:left="720" w:hanging="360"/>
        <w:rPr>
          <w:rFonts w:ascii="Poppins Light" w:cs="Poppins Light" w:eastAsia="Poppins Light" w:hAnsi="Poppins Light"/>
          <w:sz w:val="20"/>
          <w:szCs w:val="20"/>
        </w:rPr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English (Fluent) </w:t>
      </w:r>
    </w:p>
    <w:p w:rsidR="00000000" w:rsidDel="00000000" w:rsidP="00000000" w:rsidRDefault="00000000" w:rsidRPr="00000000" w14:paraId="0000006A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rFonts w:ascii="Poppins Light" w:cs="Poppins Light" w:eastAsia="Poppins Light" w:hAnsi="Poppins Light"/>
          <w:sz w:val="20"/>
          <w:szCs w:val="20"/>
        </w:rPr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Hindi (Advanced) </w:t>
      </w:r>
    </w:p>
    <w:p w:rsidR="00000000" w:rsidDel="00000000" w:rsidP="00000000" w:rsidRDefault="00000000" w:rsidRPr="00000000" w14:paraId="0000006B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rFonts w:ascii="Poppins Light" w:cs="Poppins Light" w:eastAsia="Poppins Light" w:hAnsi="Poppins Light"/>
          <w:sz w:val="20"/>
          <w:szCs w:val="20"/>
        </w:rPr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Punjabi (advanced) </w:t>
      </w:r>
    </w:p>
    <w:p w:rsidR="00000000" w:rsidDel="00000000" w:rsidP="00000000" w:rsidRDefault="00000000" w:rsidRPr="00000000" w14:paraId="0000006C">
      <w:pPr>
        <w:widowControl w:val="0"/>
        <w:numPr>
          <w:ilvl w:val="0"/>
          <w:numId w:val="5"/>
        </w:numPr>
        <w:spacing w:after="240" w:before="0" w:line="240" w:lineRule="auto"/>
        <w:ind w:left="720" w:hanging="360"/>
        <w:rPr>
          <w:rFonts w:ascii="Poppins Light" w:cs="Poppins Light" w:eastAsia="Poppins Light" w:hAnsi="Poppins Light"/>
          <w:sz w:val="20"/>
          <w:szCs w:val="20"/>
        </w:rPr>
      </w:pPr>
      <w:r w:rsidDel="00000000" w:rsidR="00000000" w:rsidRPr="00000000">
        <w:rPr>
          <w:rFonts w:ascii="Poppins Light" w:cs="Poppins Light" w:eastAsia="Poppins Light" w:hAnsi="Poppins Light"/>
          <w:sz w:val="20"/>
          <w:szCs w:val="20"/>
          <w:rtl w:val="0"/>
        </w:rPr>
        <w:t xml:space="preserve">Urdu (Intermediate)</w:t>
      </w:r>
    </w:p>
    <w:sectPr>
      <w:headerReference r:id="rId7" w:type="default"/>
      <w:headerReference r:id="rId8" w:type="even"/>
      <w:footerReference r:id="rId9" w:type="even"/>
      <w:pgSz w:h="15840" w:w="12240" w:orient="portrait"/>
      <w:pgMar w:bottom="0" w:top="0" w:left="936.0000000000001" w:right="936.0000000000001" w:header="288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Open Sans SemiBold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Open Sans ExtraBold">
    <w:embedBold w:fontKey="{00000000-0000-0000-0000-000000000000}" r:id="rId13" w:subsetted="0"/>
    <w:embedBoldItalic w:fontKey="{00000000-0000-0000-0000-000000000000}" r:id="rId14" w:subsetted="0"/>
  </w:font>
  <w:font w:name="Open Sans">
    <w:embedRegular w:fontKey="{00000000-0000-0000-0000-000000000000}" r:id="rId15" w:subsetted="0"/>
    <w:embedBold w:fontKey="{00000000-0000-0000-0000-000000000000}" r:id="rId16" w:subsetted="0"/>
    <w:embedItalic w:fontKey="{00000000-0000-0000-0000-000000000000}" r:id="rId17" w:subsetted="0"/>
    <w:embedBoldItalic w:fontKey="{00000000-0000-0000-0000-000000000000}" r:id="rId1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Surinderjits92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penSansSemiBold-italic.ttf"/><Relationship Id="rId10" Type="http://schemas.openxmlformats.org/officeDocument/2006/relationships/font" Target="fonts/OpenSansSemiBold-bold.ttf"/><Relationship Id="rId13" Type="http://schemas.openxmlformats.org/officeDocument/2006/relationships/font" Target="fonts/OpenSansExtraBold-bold.ttf"/><Relationship Id="rId12" Type="http://schemas.openxmlformats.org/officeDocument/2006/relationships/font" Target="fonts/OpenSansSemiBold-boldItalic.ttf"/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9" Type="http://schemas.openxmlformats.org/officeDocument/2006/relationships/font" Target="fonts/OpenSansSemiBold-regular.ttf"/><Relationship Id="rId15" Type="http://schemas.openxmlformats.org/officeDocument/2006/relationships/font" Target="fonts/OpenSans-regular.ttf"/><Relationship Id="rId14" Type="http://schemas.openxmlformats.org/officeDocument/2006/relationships/font" Target="fonts/OpenSansExtraBold-boldItalic.ttf"/><Relationship Id="rId17" Type="http://schemas.openxmlformats.org/officeDocument/2006/relationships/font" Target="fonts/OpenSans-italic.ttf"/><Relationship Id="rId16" Type="http://schemas.openxmlformats.org/officeDocument/2006/relationships/font" Target="fonts/OpenSans-bold.ttf"/><Relationship Id="rId5" Type="http://schemas.openxmlformats.org/officeDocument/2006/relationships/font" Target="fonts/PoppinsLight-regular.ttf"/><Relationship Id="rId6" Type="http://schemas.openxmlformats.org/officeDocument/2006/relationships/font" Target="fonts/PoppinsLight-bold.ttf"/><Relationship Id="rId18" Type="http://schemas.openxmlformats.org/officeDocument/2006/relationships/font" Target="fonts/OpenSans-boldItalic.ttf"/><Relationship Id="rId7" Type="http://schemas.openxmlformats.org/officeDocument/2006/relationships/font" Target="fonts/PoppinsLight-italic.ttf"/><Relationship Id="rId8" Type="http://schemas.openxmlformats.org/officeDocument/2006/relationships/font" Target="fonts/PoppinsLigh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